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814197" w:rsidTr="0081419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БАШ</w:t>
            </w:r>
            <w:r>
              <w:rPr>
                <w:rStyle w:val="a5"/>
                <w:rFonts w:ascii="Calibri" w:hAnsi="Calibri"/>
                <w:lang w:val="en-US"/>
              </w:rPr>
              <w:t>K</w:t>
            </w: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5"/>
                <w:rFonts w:ascii="a_Timer(15%) Bashkir" w:hAnsi="a_Timer(15%) Bashkir"/>
                <w:sz w:val="20"/>
              </w:rPr>
              <w:t>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ӘЛШӘЙ РАЙОНЫ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 РАЙОНЫНЫҢ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ТУБ</w:t>
            </w:r>
            <w:r>
              <w:rPr>
                <w:rStyle w:val="a5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>
              <w:rPr>
                <w:rStyle w:val="a5"/>
                <w:rFonts w:ascii="a_Timer(15%) Bashkir" w:hAnsi="a_Timer(15%) Bashkir"/>
                <w:sz w:val="20"/>
              </w:rPr>
              <w:t>АУЫЛ СОВЕТЫ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АУЫЛ БИЛӘМӘҺЕ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СОВЕТЫ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ТУБ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5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>452</w:t>
            </w:r>
            <w:r>
              <w:rPr>
                <w:rStyle w:val="a5"/>
                <w:rFonts w:ascii="Calibri" w:hAnsi="Calibri"/>
                <w:sz w:val="16"/>
              </w:rPr>
              <w:t>102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,</w:t>
            </w:r>
            <w:r>
              <w:rPr>
                <w:rStyle w:val="a5"/>
                <w:rFonts w:ascii="Calibri" w:hAnsi="Calibri"/>
                <w:sz w:val="16"/>
              </w:rPr>
              <w:t xml:space="preserve">Ленин </w:t>
            </w: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 xml:space="preserve"> урамы, 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63а</w:t>
            </w:r>
            <w:r>
              <w:rPr>
                <w:rStyle w:val="a5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>
              <w:rPr>
                <w:rStyle w:val="a5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0"/>
                <w:szCs w:val="10"/>
              </w:rPr>
              <w:t>ТУБ</w:t>
            </w:r>
            <w:r>
              <w:rPr>
                <w:rStyle w:val="a5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5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 xml:space="preserve"> ауылы, 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 xml:space="preserve"> Әлшәй районы,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5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5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 Республикаһы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5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5"/>
                <w:rFonts w:ascii="a_Timer(15%) Bashkir" w:hAnsi="a_Timer(15%) Bashkir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23</w:t>
            </w:r>
          </w:p>
          <w:p w:rsidR="00814197" w:rsidRDefault="00814197">
            <w:pPr>
              <w:autoSpaceDE w:val="0"/>
              <w:autoSpaceDN w:val="0"/>
              <w:jc w:val="center"/>
              <w:rPr>
                <w:rStyle w:val="a5"/>
                <w:rFonts w:ascii="Tahoma" w:hAnsi="Tahoma" w:cs="Tahoma"/>
                <w:b w:val="0"/>
                <w:bCs w:val="0"/>
                <w:szCs w:val="16"/>
                <w:lang w:val="en-US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en-US"/>
              </w:rPr>
              <w:t>e-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en-US"/>
              </w:rPr>
              <w:t>mail: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а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vrus@ufamts.ru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14197" w:rsidRDefault="00814197">
            <w:pPr>
              <w:pStyle w:val="a6"/>
              <w:spacing w:line="276" w:lineRule="auto"/>
              <w:jc w:val="right"/>
              <w:rPr>
                <w:rStyle w:val="a5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2650" cy="946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СОВЕТ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СЕЛЬСКОГО ПОСЕЛЕНИЯ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НИЖНЕАВРЮЗОВСКИЙ СЕЛЬСОВЕТ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АЛЬШЕЕВСКИЙ РАЙОН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(НИЖНЕАВРЮЗОВСКИЙ  СЕЛЬСОВЕТ АЛЬШЕЕВСКОГО  РАЙОНА  РЕСПУБЛИКИ  БАШКОРТОСТАН)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5"/>
                <w:rFonts w:ascii="a_Timer(15%) Bashkir" w:hAnsi="a_Timer(15%) Bashkir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район,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Республика Башкортостан,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(34754) 3-54-23.</w:t>
            </w:r>
          </w:p>
          <w:p w:rsidR="00814197" w:rsidRDefault="0081419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5"/>
                <w:rFonts w:ascii="a_Timer(15%) Bashkir" w:hAnsi="a_Timer(15%) Bashkir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аvrus@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4197" w:rsidTr="0081419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814197" w:rsidRDefault="00814197">
            <w:pPr>
              <w:suppressAutoHyphens/>
              <w:rPr>
                <w:rStyle w:val="a5"/>
                <w:rFonts w:ascii="a_Timer(15%) Bashkir" w:hAnsi="a_Timer(15%) Bashkir"/>
                <w:sz w:val="24"/>
                <w:szCs w:val="24"/>
                <w:lang w:eastAsia="zh-CN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 ОГРН  </w:t>
            </w:r>
            <w:r>
              <w:rPr>
                <w:rStyle w:val="a5"/>
                <w:rFonts w:ascii="Calibri" w:hAnsi="Calibri"/>
              </w:rPr>
              <w:t>1020201730450</w:t>
            </w:r>
            <w:r>
              <w:rPr>
                <w:rStyle w:val="a5"/>
                <w:rFonts w:ascii="a_Timer(15%) Bashkir" w:hAnsi="a_Timer(15%) Bashkir"/>
              </w:rPr>
              <w:t xml:space="preserve">                                    ИНН  </w:t>
            </w:r>
            <w:r>
              <w:rPr>
                <w:rStyle w:val="a5"/>
                <w:rFonts w:ascii="Calibri" w:hAnsi="Calibri"/>
              </w:rPr>
              <w:t>0202001134</w:t>
            </w:r>
            <w:r>
              <w:rPr>
                <w:rStyle w:val="a5"/>
                <w:rFonts w:ascii="a_Timer(15%) Bashkir" w:hAnsi="a_Timer(15%) Bashkir"/>
              </w:rPr>
              <w:t xml:space="preserve">                   КПП </w:t>
            </w:r>
            <w:r>
              <w:rPr>
                <w:rStyle w:val="a5"/>
                <w:rFonts w:ascii="Calibri" w:hAnsi="Calibri"/>
              </w:rPr>
              <w:t>020201001</w:t>
            </w:r>
          </w:p>
        </w:tc>
      </w:tr>
    </w:tbl>
    <w:p w:rsidR="00814197" w:rsidRDefault="00814197" w:rsidP="0081419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14197" w:rsidRDefault="00814197" w:rsidP="008141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814197" w:rsidRDefault="00814197" w:rsidP="00814197">
      <w:pPr>
        <w:pStyle w:val="13"/>
        <w:autoSpaceDE w:val="0"/>
        <w:autoSpaceDN w:val="0"/>
        <w:spacing w:line="228" w:lineRule="auto"/>
        <w:rPr>
          <w:szCs w:val="28"/>
          <w:vertAlign w:val="superscript"/>
        </w:rPr>
      </w:pPr>
      <w:r>
        <w:rPr>
          <w:sz w:val="28"/>
          <w:szCs w:val="28"/>
        </w:rPr>
        <w:t xml:space="preserve">« 19» апрель 2018 г.                  № 134                              « 19» апреля 2018 г.                  </w:t>
      </w:r>
    </w:p>
    <w:p w:rsidR="005559A2" w:rsidRDefault="005559A2" w:rsidP="00555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9A2" w:rsidRPr="000502EA" w:rsidRDefault="005559A2" w:rsidP="005559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02EA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обсуждениях 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сельском поселении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Альшеевский</w:t>
      </w:r>
      <w:proofErr w:type="spellEnd"/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 Республики Башкортостан</w:t>
      </w:r>
    </w:p>
    <w:p w:rsidR="005559A2" w:rsidRPr="009F4405" w:rsidRDefault="005559A2" w:rsidP="005559A2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59A2" w:rsidRPr="000502EA" w:rsidRDefault="005559A2" w:rsidP="005559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 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5559A2" w:rsidRPr="000502EA" w:rsidRDefault="005559A2" w:rsidP="005559A2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502EA">
        <w:rPr>
          <w:color w:val="000000"/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0502EA">
        <w:rPr>
          <w:sz w:val="28"/>
          <w:szCs w:val="28"/>
        </w:rPr>
        <w:t xml:space="preserve">оложение о порядке организации и проведения общественных обсуждений в </w:t>
      </w:r>
      <w:r w:rsidRPr="000502EA">
        <w:rPr>
          <w:color w:val="000000"/>
          <w:sz w:val="28"/>
          <w:szCs w:val="28"/>
        </w:rPr>
        <w:t>сельском поселении </w:t>
      </w:r>
      <w:proofErr w:type="spellStart"/>
      <w:r>
        <w:rPr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color w:val="000000"/>
          <w:sz w:val="28"/>
          <w:szCs w:val="28"/>
        </w:rPr>
        <w:t>Альшеевский</w:t>
      </w:r>
      <w:proofErr w:type="spellEnd"/>
      <w:r w:rsidRPr="000502EA">
        <w:rPr>
          <w:color w:val="000000"/>
          <w:sz w:val="28"/>
          <w:szCs w:val="28"/>
        </w:rPr>
        <w:t xml:space="preserve"> район  Республики Башкортостан</w:t>
      </w:r>
      <w:proofErr w:type="gramStart"/>
      <w:r w:rsidRPr="00050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5559A2" w:rsidRPr="000502EA" w:rsidRDefault="005559A2" w:rsidP="005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бнародования.</w:t>
      </w:r>
    </w:p>
    <w:p w:rsidR="005559A2" w:rsidRPr="000502EA" w:rsidRDefault="005559A2" w:rsidP="00555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02EA">
        <w:rPr>
          <w:rFonts w:ascii="Times New Roman" w:hAnsi="Times New Roman"/>
          <w:sz w:val="28"/>
          <w:szCs w:val="28"/>
        </w:rPr>
        <w:t xml:space="preserve">Решение обнародовать на информационном стенде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район Республики Башкортостан и  разместить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559A2" w:rsidRPr="009F4405" w:rsidRDefault="005559A2" w:rsidP="00555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559A2" w:rsidRPr="009F4405" w:rsidRDefault="005559A2" w:rsidP="00555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559A2" w:rsidRPr="00814197" w:rsidRDefault="005559A2" w:rsidP="008141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Р.Р.Файрушин</w:t>
      </w:r>
      <w:proofErr w:type="spellEnd"/>
    </w:p>
    <w:p w:rsidR="005559A2" w:rsidRDefault="005559A2" w:rsidP="00555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59A2" w:rsidRPr="00B64B07" w:rsidRDefault="005559A2" w:rsidP="005559A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64B07">
        <w:rPr>
          <w:rFonts w:ascii="Times New Roman" w:eastAsia="Times New Roman" w:hAnsi="Times New Roman" w:cs="Times New Roman"/>
          <w:sz w:val="24"/>
          <w:szCs w:val="24"/>
        </w:rPr>
        <w:t>Альшеевский</w:t>
      </w:r>
      <w:proofErr w:type="spellEnd"/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559A2" w:rsidRPr="00B64B07" w:rsidRDefault="005559A2" w:rsidP="005559A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.04.2018г.  № 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</w:p>
    <w:p w:rsidR="005559A2" w:rsidRPr="00B64B07" w:rsidRDefault="005559A2" w:rsidP="005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A2" w:rsidRPr="00B64B07" w:rsidRDefault="005559A2" w:rsidP="005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A2" w:rsidRPr="00B64B07" w:rsidRDefault="005559A2" w:rsidP="005559A2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ПОЛОЖЕНИЕ</w:t>
      </w:r>
    </w:p>
    <w:p w:rsidR="005559A2" w:rsidRPr="00B64B07" w:rsidRDefault="005559A2" w:rsidP="005559A2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 xml:space="preserve">О ПОРЯДКЕ ОРГАНИЗАЦИИ И ПРОВЕДЕНИЯ </w:t>
      </w:r>
      <w:proofErr w:type="gramStart"/>
      <w:r w:rsidRPr="00B64B07">
        <w:rPr>
          <w:b/>
          <w:sz w:val="28"/>
          <w:szCs w:val="28"/>
        </w:rPr>
        <w:t>ОБЩЕСТВЕННЫХ</w:t>
      </w:r>
      <w:proofErr w:type="gramEnd"/>
    </w:p>
    <w:p w:rsidR="005559A2" w:rsidRPr="00B64B07" w:rsidRDefault="005559A2" w:rsidP="00555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07">
        <w:rPr>
          <w:rFonts w:ascii="Times New Roman" w:hAnsi="Times New Roman" w:cs="Times New Roman"/>
          <w:b/>
          <w:sz w:val="28"/>
          <w:szCs w:val="28"/>
        </w:rPr>
        <w:t xml:space="preserve">ОБСУЖДЕНИЙ В 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НИЖНЕАВРЮЗОВСКИЙ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5559A2" w:rsidRPr="00B64B07" w:rsidRDefault="005559A2" w:rsidP="005559A2">
      <w:pPr>
        <w:pStyle w:val="10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559A2" w:rsidRPr="00B64B07" w:rsidRDefault="005559A2" w:rsidP="005559A2">
      <w:pPr>
        <w:pStyle w:val="11"/>
        <w:shd w:val="clear" w:color="auto" w:fill="auto"/>
        <w:spacing w:before="0" w:after="301" w:line="240" w:lineRule="auto"/>
        <w:ind w:left="3740"/>
        <w:jc w:val="both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1. Общие положения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B64B07">
        <w:rPr>
          <w:sz w:val="28"/>
          <w:szCs w:val="28"/>
        </w:rP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устанавливает порядок организации и проведения общественных обсуждений в сельском поселении в целях рассмотрения общественно значимых вопросов о намечаемой хозяйственной и иной</w:t>
      </w:r>
      <w:proofErr w:type="gramEnd"/>
      <w:r w:rsidRPr="00B64B07">
        <w:rPr>
          <w:sz w:val="28"/>
          <w:szCs w:val="28"/>
        </w:rPr>
        <w:t xml:space="preserve"> деятельности.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Для обсуждения общественно значимых вопросов с участием жителей сельского поселения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Участие в обсуждении является свободным и добровольным.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2. Цели и задачи организации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5559A2" w:rsidRPr="00B64B07" w:rsidRDefault="005559A2" w:rsidP="005559A2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Задачами общественных обсуждений являются: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доведение до населения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lastRenderedPageBreak/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и вопросам, выносимым на общественные обсуждения;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оказание влияния общественности на принятие решений органами местного самоуправления сельского поселения.</w:t>
      </w:r>
    </w:p>
    <w:p w:rsidR="005559A2" w:rsidRPr="00B64B07" w:rsidRDefault="005559A2" w:rsidP="005559A2">
      <w:pPr>
        <w:pStyle w:val="11"/>
        <w:shd w:val="clear" w:color="auto" w:fill="auto"/>
        <w:tabs>
          <w:tab w:val="left" w:pos="735"/>
        </w:tabs>
        <w:spacing w:before="0" w:after="0" w:line="240" w:lineRule="auto"/>
        <w:ind w:left="560" w:right="20"/>
        <w:jc w:val="both"/>
        <w:rPr>
          <w:sz w:val="28"/>
          <w:szCs w:val="28"/>
        </w:rPr>
      </w:pPr>
    </w:p>
    <w:p w:rsidR="005559A2" w:rsidRPr="00B64B07" w:rsidRDefault="005559A2" w:rsidP="005559A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3. Инициатива проведения общественных обсуждений</w:t>
      </w:r>
    </w:p>
    <w:p w:rsidR="005559A2" w:rsidRPr="00B64B07" w:rsidRDefault="005559A2" w:rsidP="005559A2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3.1. Инициаторами проведения общественных обсуждений могут выступать Представительный орган сельского поселения, глава сельского поселения, местная администрация, общественные объединения муниципального образования.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4. Обращение с инициативой проведения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Обращение (поручение) о проведении общественных обсуждений направляется в администрацию сельского поселения.</w:t>
      </w:r>
    </w:p>
    <w:p w:rsidR="005559A2" w:rsidRPr="00B64B07" w:rsidRDefault="005559A2" w:rsidP="005559A2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Указанное обращение (поручение) должно включать в себя: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обоснование необходимости проведения общественных обсуждений;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вопросы, предлагаемые к вынесению на общественные обсуждения;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5559A2" w:rsidRPr="00B64B07" w:rsidRDefault="005559A2" w:rsidP="005559A2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 результатам рассмотрения обращения администрация сельского поселения принимает решение о проведении общественных обсуждений либо отказе в их проведении в течение 10 дней.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5. Порядок организации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 сельского поселения, которым устанавливаются: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дата и время начала проведения общественного обсуждения;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ответственное подразделение или Комиссия (рабочая группа) администрации сельского поселения муниципального образования по подготовке и проведению общественных обсуждений (далее - рабочая группа).</w:t>
      </w:r>
    </w:p>
    <w:p w:rsidR="005559A2" w:rsidRPr="00B64B07" w:rsidRDefault="005559A2" w:rsidP="005559A2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</w:t>
      </w:r>
      <w:r w:rsidRPr="00B64B07">
        <w:rPr>
          <w:sz w:val="28"/>
          <w:szCs w:val="28"/>
        </w:rPr>
        <w:lastRenderedPageBreak/>
        <w:t>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администрации сельского поселения.</w:t>
      </w:r>
    </w:p>
    <w:p w:rsidR="005559A2" w:rsidRPr="00B64B07" w:rsidRDefault="005559A2" w:rsidP="005559A2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Рабочая группа: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5559A2" w:rsidRPr="00B64B07" w:rsidRDefault="005559A2" w:rsidP="005559A2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Сроки обсуждения жителями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6. Порядок проведения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Рабочая группа общественных обсуждений обязана: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 w:rsidRPr="00B64B07">
        <w:rPr>
          <w:sz w:val="28"/>
          <w:szCs w:val="28"/>
        </w:rPr>
        <w:t>о-</w:t>
      </w:r>
      <w:proofErr w:type="gramEnd"/>
      <w:r w:rsidRPr="00B64B07">
        <w:rPr>
          <w:sz w:val="28"/>
          <w:szCs w:val="28"/>
        </w:rPr>
        <w:t xml:space="preserve"> телекоммуникационной сети «Интернет».</w:t>
      </w:r>
    </w:p>
    <w:p w:rsidR="005559A2" w:rsidRPr="00B64B07" w:rsidRDefault="005559A2" w:rsidP="005559A2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lastRenderedPageBreak/>
        <w:t>7. Итоги общественных обсуждений</w:t>
      </w:r>
    </w:p>
    <w:p w:rsidR="005559A2" w:rsidRPr="00B64B07" w:rsidRDefault="005559A2" w:rsidP="005559A2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5559A2" w:rsidRPr="00B64B07" w:rsidRDefault="005559A2" w:rsidP="005559A2">
      <w:pPr>
        <w:pStyle w:val="11"/>
        <w:framePr w:h="270" w:wrap="around" w:vAnchor="text" w:hAnchor="margin" w:x="8374" w:y="288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559A2" w:rsidRPr="00B64B07" w:rsidRDefault="005559A2" w:rsidP="005559A2">
      <w:pPr>
        <w:pStyle w:val="11"/>
        <w:shd w:val="clear" w:color="auto" w:fill="auto"/>
        <w:spacing w:before="0" w:after="1260" w:line="240" w:lineRule="auto"/>
        <w:ind w:right="280" w:firstLine="72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5559A2" w:rsidRDefault="005559A2" w:rsidP="00555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59A2" w:rsidRDefault="005559A2" w:rsidP="005559A2"/>
    <w:p w:rsidR="00641203" w:rsidRDefault="00641203"/>
    <w:sectPr w:rsidR="00641203" w:rsidSect="00A4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1DF0D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7E2E21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9A2"/>
    <w:rsid w:val="0031486C"/>
    <w:rsid w:val="005559A2"/>
    <w:rsid w:val="00641203"/>
    <w:rsid w:val="0081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59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559A2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rsid w:val="005559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59A2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4">
    <w:name w:val="Hyperlink"/>
    <w:semiHidden/>
    <w:unhideWhenUsed/>
    <w:rsid w:val="00814197"/>
    <w:rPr>
      <w:color w:val="000080"/>
      <w:u w:val="single"/>
    </w:rPr>
  </w:style>
  <w:style w:type="character" w:styleId="a5">
    <w:name w:val="Strong"/>
    <w:basedOn w:val="a0"/>
    <w:qFormat/>
    <w:rsid w:val="00814197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nhideWhenUsed/>
    <w:rsid w:val="008141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8141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rsid w:val="008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1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Avrus</cp:lastModifiedBy>
  <cp:revision>3</cp:revision>
  <cp:lastPrinted>2018-05-16T12:35:00Z</cp:lastPrinted>
  <dcterms:created xsi:type="dcterms:W3CDTF">2018-05-16T12:24:00Z</dcterms:created>
  <dcterms:modified xsi:type="dcterms:W3CDTF">2018-05-16T12:35:00Z</dcterms:modified>
</cp:coreProperties>
</file>